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5BDF" w14:textId="77777777" w:rsidR="0080528B" w:rsidRPr="008C1AC9" w:rsidRDefault="002C59B0" w:rsidP="0080528B">
      <w:pPr>
        <w:spacing w:after="0"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t>Appendix</w:t>
      </w:r>
    </w:p>
    <w:p w14:paraId="62D74863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t>I. Time-Series Estimation Strategy</w:t>
      </w:r>
    </w:p>
    <w:p w14:paraId="7800D7A7" w14:textId="77777777" w:rsidR="00201965" w:rsidRPr="008C1AC9" w:rsidRDefault="001E1F6B" w:rsidP="002C59B0">
      <w:pPr>
        <w:spacing w:after="0" w:line="480" w:lineRule="auto"/>
        <w:ind w:firstLine="720"/>
        <w:rPr>
          <w:rFonts w:ascii="Times New Roman" w:hAnsi="Times New Roman"/>
          <w:sz w:val="22"/>
          <w:szCs w:val="22"/>
        </w:rPr>
      </w:pPr>
      <w:r w:rsidRPr="008C1AC9">
        <w:rPr>
          <w:rFonts w:ascii="Times New Roman" w:hAnsi="Times New Roman"/>
          <w:sz w:val="22"/>
          <w:szCs w:val="22"/>
        </w:rPr>
        <w:t>Our estimation strategy employs an auto-regressive distributed lag (ADL) model, of which there are many varieties.  Specifically, we use a</w:t>
      </w:r>
      <w:r w:rsidR="00201965" w:rsidRPr="008C1AC9">
        <w:rPr>
          <w:rFonts w:ascii="Times New Roman" w:hAnsi="Times New Roman"/>
          <w:sz w:val="22"/>
          <w:szCs w:val="22"/>
        </w:rPr>
        <w:t xml:space="preserve"> “dead start” model, where the contemporaneous effect of rulings is assumed to be zero:</w:t>
      </w:r>
    </w:p>
    <w:p w14:paraId="535E0BC4" w14:textId="77777777" w:rsidR="00201965" w:rsidRPr="008C1AC9" w:rsidRDefault="00201965" w:rsidP="00201965">
      <w:pPr>
        <w:spacing w:after="0" w:line="480" w:lineRule="auto"/>
        <w:ind w:firstLine="720"/>
        <w:rPr>
          <w:rFonts w:ascii="Times New Roman" w:hAnsi="Times New Roman"/>
          <w:sz w:val="22"/>
          <w:szCs w:val="22"/>
          <w:vertAlign w:val="subscript"/>
        </w:rPr>
      </w:pPr>
      <w:proofErr w:type="spellStart"/>
      <w:r w:rsidRPr="008C1AC9">
        <w:rPr>
          <w:rFonts w:ascii="Times New Roman" w:hAnsi="Times New Roman"/>
          <w:sz w:val="22"/>
          <w:szCs w:val="22"/>
        </w:rPr>
        <w:t>Y</w:t>
      </w:r>
      <w:r w:rsidRPr="008C1AC9">
        <w:rPr>
          <w:rFonts w:ascii="Times New Roman" w:hAnsi="Times New Roman"/>
          <w:sz w:val="22"/>
          <w:szCs w:val="22"/>
          <w:vertAlign w:val="subscript"/>
        </w:rPr>
        <w:t>i,t</w:t>
      </w:r>
      <w:proofErr w:type="spellEnd"/>
      <w:r w:rsidRPr="008C1AC9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8C1AC9">
        <w:rPr>
          <w:rFonts w:ascii="Times New Roman" w:hAnsi="Times New Roman"/>
          <w:sz w:val="22"/>
          <w:szCs w:val="22"/>
        </w:rPr>
        <w:t xml:space="preserve"> =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D"/>
      </w:r>
      <w:r w:rsidRPr="008C1AC9">
        <w:rPr>
          <w:rFonts w:ascii="Times New Roman" w:hAnsi="Times New Roman"/>
          <w:sz w:val="22"/>
          <w:szCs w:val="22"/>
        </w:rPr>
        <w:t xml:space="preserve"> Y</w:t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i,t-1 </w:t>
      </w:r>
      <w:r w:rsidRPr="008C1AC9">
        <w:rPr>
          <w:rFonts w:ascii="Times New Roman" w:hAnsi="Times New Roman"/>
          <w:sz w:val="22"/>
          <w:szCs w:val="22"/>
        </w:rPr>
        <w:t xml:space="preserve"> +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>0</w:t>
      </w:r>
      <w:r w:rsidRPr="008C1AC9">
        <w:rPr>
          <w:rFonts w:ascii="Times New Roman" w:hAnsi="Times New Roman"/>
          <w:i/>
          <w:sz w:val="22"/>
          <w:szCs w:val="22"/>
          <w:vertAlign w:val="subscript"/>
        </w:rPr>
        <w:t xml:space="preserve"> </w:t>
      </w:r>
      <w:r w:rsidRPr="008C1AC9">
        <w:rPr>
          <w:rFonts w:ascii="Times New Roman" w:hAnsi="Times New Roman"/>
          <w:sz w:val="22"/>
          <w:szCs w:val="22"/>
        </w:rPr>
        <w:t>X</w:t>
      </w:r>
      <w:r w:rsidRPr="008C1AC9">
        <w:rPr>
          <w:rFonts w:ascii="Times New Roman" w:hAnsi="Times New Roman"/>
          <w:sz w:val="22"/>
          <w:szCs w:val="22"/>
          <w:vertAlign w:val="subscript"/>
        </w:rPr>
        <w:t>i,t-1</w:t>
      </w:r>
      <w:r w:rsidRPr="008C1AC9">
        <w:rPr>
          <w:rFonts w:ascii="Times New Roman" w:hAnsi="Times New Roman"/>
          <w:sz w:val="22"/>
          <w:szCs w:val="22"/>
        </w:rPr>
        <w:t xml:space="preserve"> + 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>1</w:t>
      </w:r>
      <w:r w:rsidRPr="008C1AC9">
        <w:rPr>
          <w:rFonts w:ascii="Times New Roman" w:hAnsi="Times New Roman"/>
          <w:i/>
          <w:sz w:val="22"/>
          <w:szCs w:val="22"/>
          <w:vertAlign w:val="subscript"/>
        </w:rPr>
        <w:t xml:space="preserve"> </w:t>
      </w:r>
      <w:r w:rsidRPr="008C1AC9">
        <w:rPr>
          <w:rFonts w:ascii="Times New Roman" w:hAnsi="Times New Roman"/>
          <w:sz w:val="22"/>
          <w:szCs w:val="22"/>
        </w:rPr>
        <w:t>X</w:t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i,t-2 </w:t>
      </w:r>
      <w:r w:rsidRPr="008C1AC9">
        <w:rPr>
          <w:rFonts w:ascii="Times New Roman" w:hAnsi="Times New Roman"/>
          <w:sz w:val="22"/>
          <w:szCs w:val="22"/>
        </w:rPr>
        <w:t xml:space="preserve"> + </w:t>
      </w:r>
      <w:r w:rsidRPr="008C1AC9">
        <w:rPr>
          <w:rFonts w:ascii="Times New Roman" w:hAnsi="Times New Roman"/>
          <w:sz w:val="22"/>
          <w:szCs w:val="22"/>
        </w:rPr>
        <w:sym w:font="Symbol" w:char="F065"/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 </w:t>
      </w:r>
      <w:proofErr w:type="spellStart"/>
      <w:r w:rsidRPr="008C1AC9">
        <w:rPr>
          <w:rFonts w:ascii="Times New Roman" w:hAnsi="Times New Roman"/>
          <w:sz w:val="22"/>
          <w:szCs w:val="22"/>
          <w:vertAlign w:val="subscript"/>
        </w:rPr>
        <w:t>i,t</w:t>
      </w:r>
      <w:proofErr w:type="spellEnd"/>
    </w:p>
    <w:p w14:paraId="59F63FD5" w14:textId="3080AE21" w:rsidR="002C59B0" w:rsidRPr="008C1AC9" w:rsidRDefault="00201965" w:rsidP="00201965">
      <w:pPr>
        <w:pStyle w:val="FootnoteText"/>
        <w:spacing w:line="480" w:lineRule="auto"/>
        <w:rPr>
          <w:rFonts w:ascii="Times New Roman" w:hAnsi="Times New Roman"/>
          <w:sz w:val="22"/>
          <w:szCs w:val="22"/>
        </w:rPr>
      </w:pPr>
      <w:r w:rsidRPr="008C1AC9">
        <w:rPr>
          <w:rFonts w:ascii="Times New Roman" w:hAnsi="Times New Roman"/>
          <w:sz w:val="22"/>
          <w:szCs w:val="22"/>
        </w:rPr>
        <w:t xml:space="preserve">Subscripts </w:t>
      </w:r>
      <w:proofErr w:type="spellStart"/>
      <w:r w:rsidRPr="008C1AC9">
        <w:rPr>
          <w:rFonts w:ascii="Times New Roman" w:hAnsi="Times New Roman"/>
          <w:i/>
          <w:sz w:val="22"/>
          <w:szCs w:val="22"/>
        </w:rPr>
        <w:t>i</w:t>
      </w:r>
      <w:proofErr w:type="spellEnd"/>
      <w:r w:rsidRPr="008C1AC9">
        <w:rPr>
          <w:rFonts w:ascii="Times New Roman" w:hAnsi="Times New Roman"/>
          <w:sz w:val="22"/>
          <w:szCs w:val="22"/>
        </w:rPr>
        <w:t xml:space="preserve"> and </w:t>
      </w:r>
      <w:r w:rsidRPr="008C1AC9">
        <w:rPr>
          <w:rFonts w:ascii="Times New Roman" w:hAnsi="Times New Roman"/>
          <w:i/>
          <w:sz w:val="22"/>
          <w:szCs w:val="22"/>
        </w:rPr>
        <w:t>t</w:t>
      </w:r>
      <w:r w:rsidRPr="008C1AC9">
        <w:rPr>
          <w:rFonts w:ascii="Times New Roman" w:hAnsi="Times New Roman"/>
          <w:sz w:val="22"/>
          <w:szCs w:val="22"/>
        </w:rPr>
        <w:t xml:space="preserve"> index countries and time periods, respectively.   The commonly used lagged dependent variable model </w:t>
      </w:r>
      <w:r w:rsidR="006E593B" w:rsidRPr="008C1AC9">
        <w:rPr>
          <w:rFonts w:ascii="Times New Roman" w:hAnsi="Times New Roman"/>
          <w:sz w:val="22"/>
          <w:szCs w:val="22"/>
        </w:rPr>
        <w:t xml:space="preserve">(LDV) </w:t>
      </w:r>
      <w:r w:rsidRPr="008C1AC9">
        <w:rPr>
          <w:rFonts w:ascii="Times New Roman" w:hAnsi="Times New Roman"/>
          <w:sz w:val="22"/>
          <w:szCs w:val="22"/>
        </w:rPr>
        <w:t xml:space="preserve">assumes that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0 </w:t>
      </w:r>
      <w:r w:rsidRPr="008C1AC9">
        <w:rPr>
          <w:rFonts w:ascii="Times New Roman" w:hAnsi="Times New Roman"/>
          <w:sz w:val="22"/>
          <w:szCs w:val="22"/>
        </w:rPr>
        <w:t xml:space="preserve">captures the short-run effect and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>0</w:t>
      </w:r>
      <w:r w:rsidRPr="008C1AC9">
        <w:rPr>
          <w:rFonts w:ascii="Times New Roman" w:hAnsi="Times New Roman"/>
          <w:sz w:val="22"/>
          <w:szCs w:val="22"/>
        </w:rPr>
        <w:t>/(1-</w:t>
      </w:r>
      <w:r w:rsidRPr="008C1AC9">
        <w:rPr>
          <w:rFonts w:ascii="Times New Roman" w:hAnsi="Times New Roman"/>
          <w:i/>
          <w:sz w:val="22"/>
          <w:szCs w:val="22"/>
        </w:rPr>
        <w:sym w:font="Symbol" w:char="F06D"/>
      </w:r>
      <w:r w:rsidRPr="008C1AC9">
        <w:rPr>
          <w:rFonts w:ascii="Times New Roman" w:hAnsi="Times New Roman"/>
          <w:sz w:val="22"/>
          <w:szCs w:val="22"/>
        </w:rPr>
        <w:t>) captures the long-run effect.  Importantly, such a model assumes</w:t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1 </w:t>
      </w:r>
      <w:r w:rsidRPr="008C1AC9">
        <w:rPr>
          <w:rFonts w:ascii="Times New Roman" w:hAnsi="Times New Roman"/>
          <w:sz w:val="22"/>
          <w:szCs w:val="22"/>
        </w:rPr>
        <w:t xml:space="preserve">= 0, which implies a geometric decay in the effect of X on Y.  In contrast, the </w:t>
      </w:r>
      <w:proofErr w:type="spellStart"/>
      <w:r w:rsidRPr="008C1AC9">
        <w:rPr>
          <w:rFonts w:ascii="Times New Roman" w:hAnsi="Times New Roman"/>
          <w:sz w:val="22"/>
          <w:szCs w:val="22"/>
        </w:rPr>
        <w:t>Prais-Winsten</w:t>
      </w:r>
      <w:proofErr w:type="spellEnd"/>
      <w:r w:rsidRPr="008C1AC9">
        <w:rPr>
          <w:rFonts w:ascii="Times New Roman" w:hAnsi="Times New Roman"/>
          <w:sz w:val="22"/>
          <w:szCs w:val="22"/>
        </w:rPr>
        <w:t xml:space="preserve"> model assumes there is no long-run effect, which is equivalent to assuming that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1 </w:t>
      </w:r>
      <w:r w:rsidRPr="008C1AC9">
        <w:rPr>
          <w:rFonts w:ascii="Times New Roman" w:hAnsi="Times New Roman"/>
          <w:sz w:val="22"/>
          <w:szCs w:val="22"/>
        </w:rPr>
        <w:t>= -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 xml:space="preserve">0 </w:t>
      </w:r>
      <w:r w:rsidRPr="008C1AC9">
        <w:rPr>
          <w:rFonts w:ascii="Times New Roman" w:hAnsi="Times New Roman"/>
          <w:i/>
          <w:sz w:val="22"/>
          <w:szCs w:val="22"/>
        </w:rPr>
        <w:t>µ</w:t>
      </w:r>
      <w:r w:rsidRPr="008C1AC9">
        <w:rPr>
          <w:rFonts w:ascii="Times New Roman" w:hAnsi="Times New Roman"/>
          <w:sz w:val="22"/>
          <w:szCs w:val="22"/>
        </w:rPr>
        <w:t xml:space="preserve">  (Beck and Katz 2011: 335).  The intuition is that the long-run effect is zero because the combined effect of rulings at t-1 and t-2 on intra-EU imports at time t is zero.  That is, after its initial effect at time t-1, the ruling would have no further impact.  </w:t>
      </w:r>
      <w:r w:rsidR="006E593B" w:rsidRPr="008C1AC9">
        <w:rPr>
          <w:rFonts w:ascii="Times New Roman" w:hAnsi="Times New Roman"/>
          <w:sz w:val="22"/>
          <w:szCs w:val="22"/>
        </w:rPr>
        <w:t>The advantage of the ADL model is that</w:t>
      </w:r>
      <w:r w:rsidRPr="008C1AC9">
        <w:rPr>
          <w:rFonts w:ascii="Times New Roman" w:hAnsi="Times New Roman"/>
          <w:sz w:val="22"/>
          <w:szCs w:val="22"/>
        </w:rPr>
        <w:t xml:space="preserve">, with sufficiently large </w:t>
      </w:r>
      <w:r w:rsidRPr="008C1AC9">
        <w:rPr>
          <w:rFonts w:ascii="Times New Roman" w:hAnsi="Times New Roman"/>
          <w:i/>
          <w:sz w:val="22"/>
          <w:szCs w:val="22"/>
        </w:rPr>
        <w:t>µ</w:t>
      </w:r>
      <w:r w:rsidRPr="008C1AC9">
        <w:rPr>
          <w:rFonts w:ascii="Times New Roman" w:hAnsi="Times New Roman"/>
          <w:sz w:val="22"/>
          <w:szCs w:val="22"/>
        </w:rPr>
        <w:t xml:space="preserve">, the data </w:t>
      </w:r>
      <w:r w:rsidR="006E593B" w:rsidRPr="008C1AC9">
        <w:rPr>
          <w:rFonts w:ascii="Times New Roman" w:hAnsi="Times New Roman"/>
          <w:sz w:val="22"/>
          <w:szCs w:val="22"/>
        </w:rPr>
        <w:t>can adjudicate between the</w:t>
      </w:r>
      <w:r w:rsidRPr="008C1AC9">
        <w:rPr>
          <w:rFonts w:ascii="Times New Roman" w:hAnsi="Times New Roman"/>
          <w:sz w:val="22"/>
          <w:szCs w:val="22"/>
        </w:rPr>
        <w:t xml:space="preserve"> </w:t>
      </w:r>
      <w:r w:rsidR="006E593B" w:rsidRPr="008C1AC9">
        <w:rPr>
          <w:rFonts w:ascii="Times New Roman" w:hAnsi="Times New Roman"/>
          <w:sz w:val="22"/>
          <w:szCs w:val="22"/>
        </w:rPr>
        <w:t xml:space="preserve">LDV and the </w:t>
      </w:r>
      <w:proofErr w:type="spellStart"/>
      <w:r w:rsidR="006E593B" w:rsidRPr="008C1AC9">
        <w:rPr>
          <w:rFonts w:ascii="Times New Roman" w:hAnsi="Times New Roman"/>
          <w:sz w:val="22"/>
          <w:szCs w:val="22"/>
        </w:rPr>
        <w:t>Prais-Winsten</w:t>
      </w:r>
      <w:proofErr w:type="spellEnd"/>
      <w:r w:rsidR="006E593B" w:rsidRPr="008C1AC9">
        <w:rPr>
          <w:rFonts w:ascii="Times New Roman" w:hAnsi="Times New Roman"/>
          <w:sz w:val="22"/>
          <w:szCs w:val="22"/>
        </w:rPr>
        <w:t xml:space="preserve"> </w:t>
      </w:r>
      <w:r w:rsidRPr="008C1AC9">
        <w:rPr>
          <w:rFonts w:ascii="Times New Roman" w:hAnsi="Times New Roman"/>
          <w:sz w:val="22"/>
          <w:szCs w:val="22"/>
        </w:rPr>
        <w:t xml:space="preserve">model specifications through the sign and magnitude of </w:t>
      </w:r>
      <w:r w:rsidRPr="008C1AC9">
        <w:rPr>
          <w:rFonts w:ascii="Times New Roman" w:hAnsi="Times New Roman"/>
          <w:i/>
          <w:sz w:val="22"/>
          <w:szCs w:val="22"/>
        </w:rPr>
        <w:sym w:font="Symbol" w:char="F062"/>
      </w:r>
      <w:r w:rsidRPr="008C1AC9">
        <w:rPr>
          <w:rFonts w:ascii="Times New Roman" w:hAnsi="Times New Roman"/>
          <w:sz w:val="22"/>
          <w:szCs w:val="22"/>
          <w:vertAlign w:val="subscript"/>
        </w:rPr>
        <w:t>1</w:t>
      </w:r>
      <w:r w:rsidRPr="008C1AC9">
        <w:rPr>
          <w:rFonts w:ascii="Times New Roman" w:hAnsi="Times New Roman"/>
          <w:sz w:val="22"/>
          <w:szCs w:val="22"/>
        </w:rPr>
        <w:t xml:space="preserve"> (Beck and Katz 2011: 340</w:t>
      </w:r>
      <w:r w:rsidR="000C6D51" w:rsidRPr="008C1AC9">
        <w:rPr>
          <w:rFonts w:ascii="Times New Roman" w:hAnsi="Times New Roman"/>
          <w:sz w:val="22"/>
          <w:szCs w:val="22"/>
        </w:rPr>
        <w:t>).</w:t>
      </w:r>
    </w:p>
    <w:p w14:paraId="56FBC238" w14:textId="7D29E957" w:rsidR="00201965" w:rsidRPr="008C1AC9" w:rsidRDefault="006E593B" w:rsidP="002C59B0">
      <w:pPr>
        <w:pStyle w:val="FootnoteText"/>
        <w:spacing w:line="480" w:lineRule="auto"/>
        <w:ind w:firstLine="720"/>
        <w:rPr>
          <w:sz w:val="22"/>
          <w:szCs w:val="22"/>
        </w:rPr>
      </w:pPr>
      <w:r w:rsidRPr="008C1AC9">
        <w:rPr>
          <w:rFonts w:ascii="Times New Roman" w:hAnsi="Times New Roman"/>
          <w:sz w:val="22"/>
          <w:szCs w:val="22"/>
        </w:rPr>
        <w:t>Our</w:t>
      </w:r>
      <w:r w:rsidR="00201965" w:rsidRPr="008C1AC9">
        <w:rPr>
          <w:rFonts w:ascii="Times New Roman" w:hAnsi="Times New Roman"/>
          <w:sz w:val="22"/>
          <w:szCs w:val="22"/>
        </w:rPr>
        <w:t xml:space="preserve"> ADL specification </w:t>
      </w:r>
      <w:r w:rsidR="002E0CA2" w:rsidRPr="008C1AC9">
        <w:rPr>
          <w:rFonts w:ascii="Times New Roman" w:hAnsi="Times New Roman"/>
          <w:sz w:val="22"/>
          <w:szCs w:val="22"/>
        </w:rPr>
        <w:t xml:space="preserve">with fixed effects for years and nations </w:t>
      </w:r>
      <w:r w:rsidR="00201965" w:rsidRPr="008C1AC9">
        <w:rPr>
          <w:rFonts w:ascii="Times New Roman" w:hAnsi="Times New Roman"/>
          <w:sz w:val="22"/>
          <w:szCs w:val="22"/>
        </w:rPr>
        <w:t xml:space="preserve">can cause bias in the coefficient estimates, commonly known as Nickell bias or </w:t>
      </w:r>
      <w:proofErr w:type="spellStart"/>
      <w:r w:rsidR="00201965" w:rsidRPr="008C1AC9">
        <w:rPr>
          <w:rFonts w:ascii="Times New Roman" w:hAnsi="Times New Roman"/>
          <w:sz w:val="22"/>
          <w:szCs w:val="22"/>
        </w:rPr>
        <w:t>Hurwicz</w:t>
      </w:r>
      <w:proofErr w:type="spellEnd"/>
      <w:r w:rsidR="00201965" w:rsidRPr="008C1AC9">
        <w:rPr>
          <w:rFonts w:ascii="Times New Roman" w:hAnsi="Times New Roman"/>
          <w:sz w:val="22"/>
          <w:szCs w:val="22"/>
        </w:rPr>
        <w:t xml:space="preserve"> bias (Beck and Katz 2011).  This bias is typically larger for the coefficient on the lagged dependent variable than the other coefficients and for panels with short time-series (T&lt;10) (Judson and Owen 1999).   Judson and Owen (1999) recommend correcting for this bias with the </w:t>
      </w:r>
      <w:proofErr w:type="spellStart"/>
      <w:r w:rsidR="00201965" w:rsidRPr="008C1AC9">
        <w:rPr>
          <w:rFonts w:ascii="Times New Roman" w:hAnsi="Times New Roman"/>
          <w:sz w:val="22"/>
          <w:szCs w:val="22"/>
        </w:rPr>
        <w:t>Kiviet</w:t>
      </w:r>
      <w:proofErr w:type="spellEnd"/>
      <w:r w:rsidR="00201965" w:rsidRPr="008C1AC9">
        <w:rPr>
          <w:rFonts w:ascii="Times New Roman" w:hAnsi="Times New Roman"/>
          <w:sz w:val="22"/>
          <w:szCs w:val="22"/>
        </w:rPr>
        <w:t xml:space="preserve"> estimator (</w:t>
      </w:r>
      <w:proofErr w:type="spellStart"/>
      <w:r w:rsidR="00201965" w:rsidRPr="008C1AC9">
        <w:rPr>
          <w:rFonts w:ascii="Times New Roman" w:hAnsi="Times New Roman"/>
          <w:sz w:val="22"/>
          <w:szCs w:val="22"/>
        </w:rPr>
        <w:t>Kiviet</w:t>
      </w:r>
      <w:proofErr w:type="spellEnd"/>
      <w:r w:rsidR="00201965" w:rsidRPr="008C1AC9">
        <w:rPr>
          <w:rFonts w:ascii="Times New Roman" w:hAnsi="Times New Roman"/>
          <w:sz w:val="22"/>
          <w:szCs w:val="22"/>
        </w:rPr>
        <w:t xml:space="preserve"> 1995).  Whether such a correction is necessary in our setting is qu</w:t>
      </w:r>
      <w:r w:rsidR="004C5A9E" w:rsidRPr="008C1AC9">
        <w:rPr>
          <w:rFonts w:ascii="Times New Roman" w:hAnsi="Times New Roman"/>
          <w:sz w:val="22"/>
          <w:szCs w:val="22"/>
        </w:rPr>
        <w:t>estionable.  Beck and Katz (2011: 342</w:t>
      </w:r>
      <w:r w:rsidR="00201965" w:rsidRPr="008C1AC9">
        <w:rPr>
          <w:rFonts w:ascii="Times New Roman" w:hAnsi="Times New Roman"/>
          <w:sz w:val="22"/>
          <w:szCs w:val="22"/>
        </w:rPr>
        <w:t xml:space="preserve">) show that with more than 20 time periods the extent of this bias is typically very small (particularly for the coefficients of interest here) and the </w:t>
      </w:r>
      <w:proofErr w:type="spellStart"/>
      <w:r w:rsidR="00201965" w:rsidRPr="008C1AC9">
        <w:rPr>
          <w:rFonts w:ascii="Times New Roman" w:hAnsi="Times New Roman"/>
          <w:sz w:val="22"/>
          <w:szCs w:val="22"/>
        </w:rPr>
        <w:t>Kiviet</w:t>
      </w:r>
      <w:proofErr w:type="spellEnd"/>
      <w:r w:rsidR="00201965" w:rsidRPr="008C1AC9">
        <w:rPr>
          <w:rFonts w:ascii="Times New Roman" w:hAnsi="Times New Roman"/>
          <w:sz w:val="22"/>
          <w:szCs w:val="22"/>
        </w:rPr>
        <w:t xml:space="preserve"> correction has little benefit.  Nonetheless, we re-estimate</w:t>
      </w:r>
      <w:r w:rsidR="001E1F6B" w:rsidRPr="008C1AC9">
        <w:rPr>
          <w:rFonts w:ascii="Times New Roman" w:hAnsi="Times New Roman"/>
          <w:sz w:val="22"/>
          <w:szCs w:val="22"/>
        </w:rPr>
        <w:t>d</w:t>
      </w:r>
      <w:r w:rsidR="00201965" w:rsidRPr="008C1AC9">
        <w:rPr>
          <w:rFonts w:ascii="Times New Roman" w:hAnsi="Times New Roman"/>
          <w:sz w:val="22"/>
          <w:szCs w:val="22"/>
        </w:rPr>
        <w:t xml:space="preserve"> our models with the </w:t>
      </w:r>
      <w:proofErr w:type="spellStart"/>
      <w:r w:rsidR="00201965" w:rsidRPr="008C1AC9">
        <w:rPr>
          <w:rFonts w:ascii="Times New Roman" w:hAnsi="Times New Roman"/>
          <w:sz w:val="22"/>
          <w:szCs w:val="22"/>
        </w:rPr>
        <w:t>Kiviet</w:t>
      </w:r>
      <w:proofErr w:type="spellEnd"/>
      <w:r w:rsidR="00201965" w:rsidRPr="008C1AC9">
        <w:rPr>
          <w:rFonts w:ascii="Times New Roman" w:hAnsi="Times New Roman"/>
          <w:sz w:val="22"/>
          <w:szCs w:val="22"/>
        </w:rPr>
        <w:t xml:space="preserve"> estimator (</w:t>
      </w:r>
      <w:proofErr w:type="spellStart"/>
      <w:r w:rsidR="00201965" w:rsidRPr="008C1AC9">
        <w:rPr>
          <w:rFonts w:ascii="Times New Roman" w:hAnsi="Times New Roman"/>
          <w:sz w:val="22"/>
          <w:szCs w:val="22"/>
        </w:rPr>
        <w:t>Kiviet</w:t>
      </w:r>
      <w:proofErr w:type="spellEnd"/>
      <w:r w:rsidR="00201965" w:rsidRPr="008C1AC9">
        <w:rPr>
          <w:rFonts w:ascii="Times New Roman" w:hAnsi="Times New Roman"/>
          <w:sz w:val="22"/>
          <w:szCs w:val="22"/>
        </w:rPr>
        <w:t xml:space="preserve"> 1995) to evaluate the magnitude of any such bias</w:t>
      </w:r>
      <w:r w:rsidR="001E1F6B" w:rsidRPr="008C1AC9">
        <w:rPr>
          <w:rFonts w:ascii="Times New Roman" w:hAnsi="Times New Roman"/>
          <w:sz w:val="22"/>
          <w:szCs w:val="22"/>
        </w:rPr>
        <w:t xml:space="preserve"> and found no substantively meaningful bias in the coefficients of interest (e.g., the lagged dependent variable or the lagged rulings)</w:t>
      </w:r>
      <w:r w:rsidR="00201965" w:rsidRPr="008C1AC9">
        <w:rPr>
          <w:rFonts w:ascii="Times New Roman" w:hAnsi="Times New Roman"/>
          <w:sz w:val="22"/>
          <w:szCs w:val="22"/>
        </w:rPr>
        <w:t>.</w:t>
      </w:r>
    </w:p>
    <w:p w14:paraId="1356B124" w14:textId="77777777" w:rsidR="004C5A9E" w:rsidRPr="008C1AC9" w:rsidRDefault="004C5A9E" w:rsidP="004C5A9E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7FD680E6" w14:textId="77777777" w:rsidR="004C5A9E" w:rsidRPr="008C1AC9" w:rsidRDefault="004C5A9E" w:rsidP="000107F0">
      <w:pPr>
        <w:spacing w:after="0"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t>References</w:t>
      </w:r>
    </w:p>
    <w:p w14:paraId="631BFB0D" w14:textId="77777777" w:rsidR="004C5A9E" w:rsidRPr="008C1AC9" w:rsidRDefault="004C5A9E" w:rsidP="004C5A9E">
      <w:pPr>
        <w:spacing w:after="0" w:line="480" w:lineRule="auto"/>
        <w:ind w:left="720" w:hanging="720"/>
        <w:rPr>
          <w:rFonts w:ascii="Times New Roman" w:hAnsi="Times New Roman"/>
          <w:sz w:val="22"/>
          <w:szCs w:val="22"/>
        </w:rPr>
      </w:pPr>
      <w:r w:rsidRPr="008C1AC9">
        <w:rPr>
          <w:rFonts w:ascii="Times New Roman" w:hAnsi="Times New Roman"/>
          <w:sz w:val="22"/>
          <w:szCs w:val="22"/>
        </w:rPr>
        <w:t xml:space="preserve">Beck, Nathaniel and Jonathan Katz. 2011. “Modeling Dynamics in Time-Series-Cross-Section Political Economy Data.”  </w:t>
      </w:r>
      <w:r w:rsidRPr="008C1AC9">
        <w:rPr>
          <w:rFonts w:ascii="Times New Roman" w:hAnsi="Times New Roman"/>
          <w:i/>
          <w:sz w:val="22"/>
          <w:szCs w:val="22"/>
        </w:rPr>
        <w:t>Annual Review of Political Science</w:t>
      </w:r>
      <w:r w:rsidRPr="008C1AC9">
        <w:rPr>
          <w:rFonts w:ascii="Times New Roman" w:hAnsi="Times New Roman"/>
          <w:sz w:val="22"/>
          <w:szCs w:val="22"/>
        </w:rPr>
        <w:t xml:space="preserve"> 14: 331-52. </w:t>
      </w:r>
    </w:p>
    <w:p w14:paraId="437B1988" w14:textId="260D9E92" w:rsidR="004C5A9E" w:rsidRPr="008C1AC9" w:rsidRDefault="004C5A9E" w:rsidP="004C5A9E">
      <w:pPr>
        <w:spacing w:after="0" w:line="480" w:lineRule="auto"/>
        <w:ind w:left="720" w:hanging="720"/>
        <w:rPr>
          <w:rFonts w:ascii="Times New Roman" w:hAnsi="Times New Roman"/>
          <w:sz w:val="22"/>
          <w:szCs w:val="22"/>
        </w:rPr>
      </w:pPr>
      <w:r w:rsidRPr="008C1AC9">
        <w:rPr>
          <w:rFonts w:ascii="Times New Roman" w:hAnsi="Times New Roman"/>
          <w:sz w:val="22"/>
          <w:szCs w:val="22"/>
        </w:rPr>
        <w:t xml:space="preserve">Judson, Katherine and Anne Owen. 1999. “Estimating Dynamic Panel Data Models:  A Guide for Macroeconomists.”  </w:t>
      </w:r>
      <w:r w:rsidRPr="008C1AC9">
        <w:rPr>
          <w:rFonts w:ascii="Times New Roman" w:hAnsi="Times New Roman"/>
          <w:i/>
          <w:sz w:val="22"/>
          <w:szCs w:val="22"/>
        </w:rPr>
        <w:t>Economics Letters</w:t>
      </w:r>
      <w:r w:rsidR="00CB2A58" w:rsidRPr="008C1AC9">
        <w:rPr>
          <w:rFonts w:ascii="Times New Roman" w:hAnsi="Times New Roman"/>
          <w:sz w:val="22"/>
          <w:szCs w:val="22"/>
        </w:rPr>
        <w:t xml:space="preserve"> </w:t>
      </w:r>
      <w:r w:rsidRPr="008C1AC9">
        <w:rPr>
          <w:rFonts w:ascii="Times New Roman" w:hAnsi="Times New Roman"/>
          <w:sz w:val="22"/>
          <w:szCs w:val="22"/>
        </w:rPr>
        <w:t xml:space="preserve">65: 9-15. </w:t>
      </w:r>
    </w:p>
    <w:p w14:paraId="648F6141" w14:textId="77777777" w:rsidR="004C5A9E" w:rsidRPr="008C1AC9" w:rsidRDefault="004C5A9E" w:rsidP="004C5A9E">
      <w:pPr>
        <w:spacing w:after="0" w:line="480" w:lineRule="auto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8C1AC9">
        <w:rPr>
          <w:rFonts w:ascii="Times New Roman" w:hAnsi="Times New Roman"/>
          <w:sz w:val="22"/>
          <w:szCs w:val="22"/>
        </w:rPr>
        <w:t>Kiviet</w:t>
      </w:r>
      <w:proofErr w:type="spellEnd"/>
      <w:r w:rsidRPr="008C1AC9">
        <w:rPr>
          <w:rFonts w:ascii="Times New Roman" w:hAnsi="Times New Roman"/>
          <w:sz w:val="22"/>
          <w:szCs w:val="22"/>
        </w:rPr>
        <w:t xml:space="preserve">, Jan 1995. “On Bias, Inconsistency, and Efficiency of Various Estimators in Dynamic Panel Models.”  </w:t>
      </w:r>
      <w:r w:rsidRPr="008C1AC9">
        <w:rPr>
          <w:rFonts w:ascii="Times New Roman" w:hAnsi="Times New Roman"/>
          <w:i/>
          <w:sz w:val="22"/>
          <w:szCs w:val="22"/>
        </w:rPr>
        <w:t>Journal of Econometrics</w:t>
      </w:r>
      <w:r w:rsidRPr="008C1AC9">
        <w:rPr>
          <w:rFonts w:ascii="Times New Roman" w:hAnsi="Times New Roman"/>
          <w:sz w:val="22"/>
          <w:szCs w:val="22"/>
        </w:rPr>
        <w:t xml:space="preserve"> 68: 53-87.</w:t>
      </w:r>
    </w:p>
    <w:p w14:paraId="6B92D533" w14:textId="77777777" w:rsidR="004C5A9E" w:rsidRPr="008C1AC9" w:rsidRDefault="004C5A9E" w:rsidP="004C5A9E">
      <w:pPr>
        <w:spacing w:after="0" w:line="480" w:lineRule="auto"/>
        <w:ind w:left="720" w:hanging="720"/>
        <w:rPr>
          <w:rFonts w:ascii="Times New Roman" w:hAnsi="Times New Roman"/>
          <w:sz w:val="22"/>
          <w:szCs w:val="22"/>
        </w:rPr>
      </w:pPr>
    </w:p>
    <w:p w14:paraId="7B09F684" w14:textId="77777777" w:rsidR="004C5A9E" w:rsidRPr="008C1AC9" w:rsidRDefault="004C5A9E" w:rsidP="004C5A9E">
      <w:pPr>
        <w:spacing w:after="0" w:line="480" w:lineRule="auto"/>
        <w:rPr>
          <w:rFonts w:ascii="Times New Roman" w:hAnsi="Times New Roman"/>
          <w:sz w:val="22"/>
          <w:szCs w:val="22"/>
        </w:rPr>
      </w:pPr>
    </w:p>
    <w:p w14:paraId="484322DC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529D23F8" w14:textId="77777777" w:rsidR="0080528B" w:rsidRPr="008C1AC9" w:rsidRDefault="001E1F6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br w:type="page"/>
      </w:r>
      <w:r w:rsidR="0080528B" w:rsidRPr="008C1AC9">
        <w:rPr>
          <w:rFonts w:ascii="Times New Roman" w:hAnsi="Times New Roman"/>
          <w:b/>
          <w:sz w:val="22"/>
          <w:szCs w:val="22"/>
        </w:rPr>
        <w:lastRenderedPageBreak/>
        <w:t>II. Supplemental figures</w:t>
      </w:r>
    </w:p>
    <w:p w14:paraId="7179B6F5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t>Figure 3. A comparison of referrals, decisions and outcomes on preliminary rulings</w:t>
      </w:r>
    </w:p>
    <w:p w14:paraId="656CDB59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2511A2C3" wp14:editId="309DD42E">
            <wp:extent cx="4970145" cy="3615055"/>
            <wp:effectExtent l="0" t="0" r="825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D966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3FCBDF64" w14:textId="77777777" w:rsidR="0080528B" w:rsidRPr="008C1AC9" w:rsidRDefault="0080528B" w:rsidP="0080528B">
      <w:pPr>
        <w:spacing w:after="0" w:line="480" w:lineRule="auto"/>
        <w:ind w:firstLine="720"/>
        <w:rPr>
          <w:rFonts w:ascii="Times New Roman" w:hAnsi="Times New Roman"/>
          <w:sz w:val="22"/>
          <w:szCs w:val="22"/>
        </w:rPr>
      </w:pPr>
    </w:p>
    <w:p w14:paraId="0B45E828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br w:type="page"/>
      </w:r>
      <w:r w:rsidRPr="008C1AC9" w:rsidDel="00096CFD"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Pr="008C1AC9">
        <w:rPr>
          <w:rFonts w:ascii="Times New Roman" w:hAnsi="Times New Roman"/>
          <w:b/>
          <w:sz w:val="22"/>
          <w:szCs w:val="22"/>
        </w:rPr>
        <w:t>Figure 4. Trends in pro-Commission preliminary rulings by country</w:t>
      </w:r>
    </w:p>
    <w:p w14:paraId="13E7FE6E" w14:textId="4FF56AC8" w:rsidR="0080528B" w:rsidRPr="008C1AC9" w:rsidRDefault="00E0115A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63C1D6FB" wp14:editId="3BB5FE9C">
            <wp:extent cx="5029200" cy="3657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88C5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3643B9FF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5F43299A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2E9FDB1A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45A54C56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716E5B8D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31BB2809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73FBA5D3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18159793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0F64A910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23B6894E" w14:textId="77777777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</w:p>
    <w:p w14:paraId="2CBE3B8C" w14:textId="620298BF" w:rsidR="0080528B" w:rsidRPr="008C1AC9" w:rsidRDefault="0080528B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 w:rsidRPr="008C1AC9">
        <w:rPr>
          <w:rFonts w:ascii="Times New Roman" w:hAnsi="Times New Roman"/>
          <w:b/>
          <w:sz w:val="22"/>
          <w:szCs w:val="22"/>
        </w:rPr>
        <w:br w:type="page"/>
      </w:r>
      <w:r w:rsidRPr="008C1AC9">
        <w:rPr>
          <w:rFonts w:ascii="Times New Roman" w:hAnsi="Times New Roman"/>
          <w:b/>
          <w:sz w:val="22"/>
          <w:szCs w:val="22"/>
        </w:rPr>
        <w:lastRenderedPageBreak/>
        <w:t>Figure 5. Trends in pro-Commission infringement rulings by country</w:t>
      </w:r>
    </w:p>
    <w:p w14:paraId="18FF24E8" w14:textId="3BEE85C9" w:rsidR="0080528B" w:rsidRPr="008C1AC9" w:rsidRDefault="00E0115A" w:rsidP="0080528B">
      <w:pPr>
        <w:spacing w:after="0"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622F5A3" wp14:editId="712F3AC5">
            <wp:extent cx="5029200" cy="36576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8B" w:rsidRPr="008C1AC9">
        <w:rPr>
          <w:rFonts w:ascii="Times New Roman" w:hAnsi="Times New Roman"/>
          <w:sz w:val="22"/>
          <w:szCs w:val="22"/>
        </w:rPr>
        <w:br w:type="page"/>
      </w:r>
      <w:r w:rsidR="0080528B" w:rsidRPr="008C1AC9" w:rsidDel="00FD5868"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80528B" w:rsidRPr="008C1AC9">
        <w:rPr>
          <w:rFonts w:ascii="Times New Roman" w:hAnsi="Times New Roman"/>
          <w:b/>
          <w:sz w:val="22"/>
          <w:szCs w:val="22"/>
        </w:rPr>
        <w:t xml:space="preserve">Figure 6.  </w:t>
      </w:r>
      <w:r w:rsidR="008C1AC9">
        <w:rPr>
          <w:rFonts w:ascii="Times New Roman" w:hAnsi="Times New Roman"/>
          <w:b/>
          <w:sz w:val="22"/>
          <w:szCs w:val="22"/>
        </w:rPr>
        <w:t>T</w:t>
      </w:r>
      <w:r w:rsidR="008C1AC9" w:rsidRPr="008C1AC9">
        <w:rPr>
          <w:rFonts w:ascii="Times New Roman" w:hAnsi="Times New Roman"/>
          <w:b/>
          <w:sz w:val="22"/>
          <w:szCs w:val="22"/>
        </w:rPr>
        <w:t xml:space="preserve">he Impact of </w:t>
      </w:r>
      <w:r w:rsidR="008C1AC9">
        <w:rPr>
          <w:rFonts w:ascii="Times New Roman" w:hAnsi="Times New Roman"/>
          <w:b/>
          <w:sz w:val="22"/>
          <w:szCs w:val="22"/>
        </w:rPr>
        <w:t xml:space="preserve">Pro-Commission </w:t>
      </w:r>
      <w:r w:rsidR="008C1AC9" w:rsidRPr="008C1AC9">
        <w:rPr>
          <w:rFonts w:ascii="Times New Roman" w:hAnsi="Times New Roman"/>
          <w:b/>
          <w:sz w:val="22"/>
          <w:szCs w:val="22"/>
        </w:rPr>
        <w:t xml:space="preserve">Preliminary Rulings on </w:t>
      </w:r>
      <w:r w:rsidR="0080528B" w:rsidRPr="008C1AC9">
        <w:rPr>
          <w:rFonts w:ascii="Times New Roman" w:hAnsi="Times New Roman"/>
          <w:b/>
          <w:sz w:val="22"/>
          <w:szCs w:val="22"/>
        </w:rPr>
        <w:t>German intra-EU Imports/GDP</w:t>
      </w:r>
    </w:p>
    <w:p w14:paraId="0F3790DB" w14:textId="467EA79F" w:rsidR="0080528B" w:rsidRPr="008C1AC9" w:rsidRDefault="006827C0" w:rsidP="0080528B">
      <w:pPr>
        <w:spacing w:after="0" w:line="480" w:lineRule="auto"/>
        <w:rPr>
          <w:rFonts w:ascii="Times New Roman" w:hAnsi="Times New Roman"/>
          <w:sz w:val="22"/>
          <w:szCs w:val="22"/>
        </w:rPr>
      </w:pPr>
      <w:r w:rsidRPr="008C1AC9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3F152C3" wp14:editId="5C00A7B4">
            <wp:extent cx="5080635" cy="320294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BCDA5A" w14:textId="77777777" w:rsidR="0080528B" w:rsidRPr="008C1AC9" w:rsidRDefault="0080528B" w:rsidP="0080528B">
      <w:pPr>
        <w:rPr>
          <w:sz w:val="22"/>
          <w:szCs w:val="22"/>
        </w:rPr>
      </w:pPr>
      <w:r w:rsidRPr="008C1AC9">
        <w:rPr>
          <w:rFonts w:ascii="Times New Roman" w:hAnsi="Times New Roman"/>
          <w:sz w:val="22"/>
          <w:szCs w:val="22"/>
        </w:rPr>
        <w:t xml:space="preserve">The Figure plots the predicted level of intra-EU imports/GDP for (West) Germany from 1970-1993 based on the coefficients in the first </w:t>
      </w:r>
      <w:proofErr w:type="spellStart"/>
      <w:r w:rsidRPr="008C1AC9">
        <w:rPr>
          <w:rFonts w:ascii="Times New Roman" w:hAnsi="Times New Roman"/>
          <w:sz w:val="22"/>
          <w:szCs w:val="22"/>
        </w:rPr>
        <w:t>Prais-Winsten</w:t>
      </w:r>
      <w:proofErr w:type="spellEnd"/>
      <w:r w:rsidRPr="008C1AC9">
        <w:rPr>
          <w:rFonts w:ascii="Times New Roman" w:hAnsi="Times New Roman"/>
          <w:sz w:val="22"/>
          <w:szCs w:val="22"/>
        </w:rPr>
        <w:t xml:space="preserve"> Model in Table 1.</w:t>
      </w:r>
    </w:p>
    <w:sectPr w:rsidR="0080528B" w:rsidRPr="008C1AC9" w:rsidSect="0080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D567D"/>
    <w:multiLevelType w:val="hybridMultilevel"/>
    <w:tmpl w:val="B5B2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B"/>
    <w:rsid w:val="000107F0"/>
    <w:rsid w:val="0004792E"/>
    <w:rsid w:val="000C6D51"/>
    <w:rsid w:val="001D18F2"/>
    <w:rsid w:val="001E1F6B"/>
    <w:rsid w:val="00201965"/>
    <w:rsid w:val="00255BA7"/>
    <w:rsid w:val="002C59B0"/>
    <w:rsid w:val="002E0CA2"/>
    <w:rsid w:val="004C5A9E"/>
    <w:rsid w:val="004E12CC"/>
    <w:rsid w:val="006827C0"/>
    <w:rsid w:val="006E593B"/>
    <w:rsid w:val="0080528B"/>
    <w:rsid w:val="008C1AC9"/>
    <w:rsid w:val="009B7248"/>
    <w:rsid w:val="00A261BF"/>
    <w:rsid w:val="00A279E1"/>
    <w:rsid w:val="00CB2A58"/>
    <w:rsid w:val="00DB67F9"/>
    <w:rsid w:val="00E0115A"/>
    <w:rsid w:val="00F47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6477AE"/>
  <w15:docId w15:val="{6FB9EEA5-0180-0A4C-A30F-B899466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8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8B"/>
    <w:rPr>
      <w:rFonts w:ascii="Lucida Grande" w:eastAsia="Cambr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0196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01965"/>
    <w:rPr>
      <w:rFonts w:ascii="Cambria" w:eastAsia="Cambria" w:hAnsi="Cambria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201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jgabe1:Desktop:research:JOP%20submission:resbumission:counterfactua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89683667427701"/>
          <c:y val="2.89203048245672E-2"/>
          <c:w val="0.81930975173852205"/>
          <c:h val="0.67532745034114205"/>
        </c:manualLayout>
      </c:layout>
      <c:lineChart>
        <c:grouping val="standard"/>
        <c:varyColors val="0"/>
        <c:ser>
          <c:idx val="0"/>
          <c:order val="0"/>
          <c:tx>
            <c:v>predicted (actual rulings)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Sheet1!$A$2:$A$26</c:f>
              <c:numCache>
                <c:formatCode>General</c:formatCode>
                <c:ptCount val="25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</c:numCache>
            </c:numRef>
          </c:cat>
          <c:val>
            <c:numRef>
              <c:f>Sheet1!$G$2:$G$25</c:f>
              <c:numCache>
                <c:formatCode>General</c:formatCode>
                <c:ptCount val="24"/>
                <c:pt idx="0">
                  <c:v>4.84</c:v>
                </c:pt>
                <c:pt idx="1">
                  <c:v>4.68</c:v>
                </c:pt>
                <c:pt idx="2">
                  <c:v>5.18</c:v>
                </c:pt>
                <c:pt idx="3">
                  <c:v>7.55</c:v>
                </c:pt>
                <c:pt idx="4">
                  <c:v>9.0500000000000007</c:v>
                </c:pt>
                <c:pt idx="5">
                  <c:v>7.3199999999999976</c:v>
                </c:pt>
                <c:pt idx="6">
                  <c:v>7.88</c:v>
                </c:pt>
                <c:pt idx="7">
                  <c:v>8.07</c:v>
                </c:pt>
                <c:pt idx="8">
                  <c:v>8.1300000000000008</c:v>
                </c:pt>
                <c:pt idx="9">
                  <c:v>9.7899999999999991</c:v>
                </c:pt>
                <c:pt idx="10">
                  <c:v>9.89</c:v>
                </c:pt>
                <c:pt idx="11">
                  <c:v>9.92</c:v>
                </c:pt>
                <c:pt idx="12">
                  <c:v>10.54</c:v>
                </c:pt>
                <c:pt idx="13">
                  <c:v>10.97</c:v>
                </c:pt>
                <c:pt idx="14" formatCode="0.00">
                  <c:v>12.59</c:v>
                </c:pt>
                <c:pt idx="15">
                  <c:v>12.91</c:v>
                </c:pt>
                <c:pt idx="16">
                  <c:v>11.88</c:v>
                </c:pt>
                <c:pt idx="17">
                  <c:v>11.17</c:v>
                </c:pt>
                <c:pt idx="18">
                  <c:v>12.08</c:v>
                </c:pt>
                <c:pt idx="19">
                  <c:v>12.65</c:v>
                </c:pt>
                <c:pt idx="20">
                  <c:v>12.7</c:v>
                </c:pt>
                <c:pt idx="21">
                  <c:v>12.09</c:v>
                </c:pt>
                <c:pt idx="22">
                  <c:v>10.97</c:v>
                </c:pt>
                <c:pt idx="23">
                  <c:v>9.23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EF-EB4F-BBE8-F1AC9AE7C4FC}"/>
            </c:ext>
          </c:extLst>
        </c:ser>
        <c:ser>
          <c:idx val="2"/>
          <c:order val="1"/>
          <c:tx>
            <c:v>predicted (no rulings)</c:v>
          </c:tx>
          <c:spPr>
            <a:ln w="22225">
              <a:solidFill>
                <a:schemeClr val="bg1">
                  <a:lumMod val="50000"/>
                </a:schemeClr>
              </a:solidFill>
              <a:prstDash val="solid"/>
            </a:ln>
          </c:spPr>
          <c:marker>
            <c:symbol val="none"/>
          </c:marker>
          <c:cat>
            <c:numRef>
              <c:f>Sheet1!$A$2:$A$26</c:f>
              <c:numCache>
                <c:formatCode>General</c:formatCode>
                <c:ptCount val="25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</c:numCache>
            </c:numRef>
          </c:cat>
          <c:val>
            <c:numRef>
              <c:f>Sheet1!$H$2:$H$25</c:f>
              <c:numCache>
                <c:formatCode>General</c:formatCode>
                <c:ptCount val="24"/>
                <c:pt idx="0">
                  <c:v>4.379999999999999</c:v>
                </c:pt>
                <c:pt idx="1">
                  <c:v>4.5299999999999976</c:v>
                </c:pt>
                <c:pt idx="2">
                  <c:v>4.1699999999999946</c:v>
                </c:pt>
                <c:pt idx="3">
                  <c:v>7.0599999999999987</c:v>
                </c:pt>
                <c:pt idx="4">
                  <c:v>8.3900000000000023</c:v>
                </c:pt>
                <c:pt idx="5">
                  <c:v>6.1999999999999966</c:v>
                </c:pt>
                <c:pt idx="6">
                  <c:v>7.2199999999999989</c:v>
                </c:pt>
                <c:pt idx="7">
                  <c:v>7.4799999999999978</c:v>
                </c:pt>
                <c:pt idx="8">
                  <c:v>7.3599999999999977</c:v>
                </c:pt>
                <c:pt idx="9">
                  <c:v>8.86</c:v>
                </c:pt>
                <c:pt idx="10">
                  <c:v>9.1</c:v>
                </c:pt>
                <c:pt idx="11">
                  <c:v>9.1199999999999992</c:v>
                </c:pt>
                <c:pt idx="12">
                  <c:v>9.94</c:v>
                </c:pt>
                <c:pt idx="13">
                  <c:v>10.26</c:v>
                </c:pt>
                <c:pt idx="14">
                  <c:v>11.11</c:v>
                </c:pt>
                <c:pt idx="15">
                  <c:v>12.41</c:v>
                </c:pt>
                <c:pt idx="16">
                  <c:v>10.81</c:v>
                </c:pt>
                <c:pt idx="17">
                  <c:v>10.6</c:v>
                </c:pt>
                <c:pt idx="18">
                  <c:v>11.36</c:v>
                </c:pt>
                <c:pt idx="19">
                  <c:v>12.19</c:v>
                </c:pt>
                <c:pt idx="20">
                  <c:v>11.89</c:v>
                </c:pt>
                <c:pt idx="21">
                  <c:v>11.37</c:v>
                </c:pt>
                <c:pt idx="22">
                  <c:v>9.94</c:v>
                </c:pt>
                <c:pt idx="23">
                  <c:v>8.2200000000000006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EF-EB4F-BBE8-F1AC9AE7C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76401240"/>
        <c:axId val="1776398248"/>
      </c:lineChart>
      <c:catAx>
        <c:axId val="1776401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1776398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76398248"/>
        <c:scaling>
          <c:orientation val="minMax"/>
          <c:max val="15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intra-EU imports (% GDP)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1776401240"/>
        <c:crosses val="autoZero"/>
        <c:crossBetween val="between"/>
        <c:majorUnit val="5"/>
      </c:valAx>
    </c:plotArea>
    <c:legend>
      <c:legendPos val="b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</Words>
  <Characters>2743</Characters>
  <Application>Microsoft Office Word</Application>
  <DocSecurity>0</DocSecurity>
  <Lines>22</Lines>
  <Paragraphs>6</Paragraphs>
  <ScaleCrop>false</ScaleCrop>
  <Company>Washington University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Gabel</dc:creator>
  <cp:keywords/>
  <dc:description/>
  <cp:lastModifiedBy>Williams, Kizzy M.</cp:lastModifiedBy>
  <cp:revision>2</cp:revision>
  <dcterms:created xsi:type="dcterms:W3CDTF">2021-05-13T20:13:00Z</dcterms:created>
  <dcterms:modified xsi:type="dcterms:W3CDTF">2021-05-13T20:13:00Z</dcterms:modified>
</cp:coreProperties>
</file>